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A144" w14:textId="5B4E788E" w:rsidR="00422686" w:rsidRDefault="00E8242B" w:rsidP="00422686">
      <w:pPr>
        <w:jc w:val="both"/>
        <w:rPr>
          <w:b/>
          <w:bCs/>
          <w:sz w:val="36"/>
          <w:szCs w:val="36"/>
        </w:rPr>
      </w:pPr>
      <w:r>
        <w:rPr>
          <w:noProof/>
        </w:rPr>
        <w:drawing>
          <wp:anchor distT="0" distB="0" distL="114300" distR="114300" simplePos="0" relativeHeight="251658240" behindDoc="0" locked="0" layoutInCell="1" allowOverlap="1" wp14:anchorId="13C6DA20" wp14:editId="6EEC6621">
            <wp:simplePos x="0" y="0"/>
            <wp:positionH relativeFrom="margin">
              <wp:posOffset>4931410</wp:posOffset>
            </wp:positionH>
            <wp:positionV relativeFrom="margin">
              <wp:posOffset>-792480</wp:posOffset>
            </wp:positionV>
            <wp:extent cx="1019175" cy="1181100"/>
            <wp:effectExtent l="0" t="0" r="9525" b="0"/>
            <wp:wrapThrough wrapText="bothSides">
              <wp:wrapPolygon edited="0">
                <wp:start x="10901" y="0"/>
                <wp:lineTo x="2826" y="2787"/>
                <wp:lineTo x="0" y="4529"/>
                <wp:lineTo x="0" y="6619"/>
                <wp:lineTo x="8479" y="11497"/>
                <wp:lineTo x="0" y="14981"/>
                <wp:lineTo x="0" y="18465"/>
                <wp:lineTo x="3230" y="21252"/>
                <wp:lineTo x="18168" y="21252"/>
                <wp:lineTo x="21398" y="18116"/>
                <wp:lineTo x="21398" y="15329"/>
                <wp:lineTo x="16150" y="11497"/>
                <wp:lineTo x="18976" y="11497"/>
                <wp:lineTo x="20994" y="9058"/>
                <wp:lineTo x="20994" y="4181"/>
                <wp:lineTo x="19783" y="2090"/>
                <wp:lineTo x="14535" y="0"/>
                <wp:lineTo x="10901" y="0"/>
              </wp:wrapPolygon>
            </wp:wrapThrough>
            <wp:docPr id="61092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24026" name="Picture 610924026"/>
                    <pic:cNvPicPr/>
                  </pic:nvPicPr>
                  <pic:blipFill>
                    <a:blip r:embed="rId5">
                      <a:extLst>
                        <a:ext uri="{28A0092B-C50C-407E-A947-70E740481C1C}">
                          <a14:useLocalDpi xmlns:a14="http://schemas.microsoft.com/office/drawing/2010/main" val="0"/>
                        </a:ext>
                      </a:extLst>
                    </a:blip>
                    <a:stretch>
                      <a:fillRect/>
                    </a:stretch>
                  </pic:blipFill>
                  <pic:spPr>
                    <a:xfrm>
                      <a:off x="0" y="0"/>
                      <a:ext cx="1019175" cy="1181100"/>
                    </a:xfrm>
                    <a:prstGeom prst="rect">
                      <a:avLst/>
                    </a:prstGeom>
                  </pic:spPr>
                </pic:pic>
              </a:graphicData>
            </a:graphic>
          </wp:anchor>
        </w:drawing>
      </w:r>
    </w:p>
    <w:p w14:paraId="418F8841" w14:textId="04A0C49B" w:rsidR="003407A7" w:rsidRPr="003407A7" w:rsidRDefault="003407A7" w:rsidP="00422686">
      <w:pPr>
        <w:jc w:val="center"/>
        <w:rPr>
          <w:b/>
          <w:bCs/>
          <w:sz w:val="36"/>
          <w:szCs w:val="36"/>
        </w:rPr>
      </w:pPr>
      <w:r w:rsidRPr="003407A7">
        <w:rPr>
          <w:b/>
          <w:bCs/>
          <w:sz w:val="36"/>
          <w:szCs w:val="36"/>
        </w:rPr>
        <w:t>Privacy Policy and Data Protection Policy</w:t>
      </w:r>
    </w:p>
    <w:p w14:paraId="5FE7CCCF" w14:textId="5652FE62" w:rsidR="003407A7" w:rsidRPr="00422686" w:rsidRDefault="003407A7" w:rsidP="00422686">
      <w:pPr>
        <w:jc w:val="both"/>
        <w:rPr>
          <w:b/>
          <w:bCs/>
          <w:sz w:val="28"/>
          <w:szCs w:val="28"/>
        </w:rPr>
      </w:pPr>
      <w:r w:rsidRPr="00422686">
        <w:rPr>
          <w:b/>
          <w:bCs/>
          <w:sz w:val="28"/>
          <w:szCs w:val="28"/>
        </w:rPr>
        <w:t>1. Introduction</w:t>
      </w:r>
    </w:p>
    <w:p w14:paraId="22D29C5B" w14:textId="76A6B554" w:rsidR="003407A7" w:rsidRDefault="003407A7" w:rsidP="00422686">
      <w:pPr>
        <w:jc w:val="both"/>
      </w:pPr>
      <w:r>
        <w:t xml:space="preserve">Perpetuity Capital </w:t>
      </w:r>
      <w:r>
        <w:t>(Oracle Marketing Private Limited)</w:t>
      </w:r>
      <w:r w:rsidR="00422686">
        <w:t xml:space="preserve"> </w:t>
      </w:r>
      <w:r>
        <w:t>(the "Company") is committed to safeguarding the privacy and personal data of its customers, borrowers, website visitors, and other stakeholders. This Privacy Policy and Data Protection Policy ("Policy") explains how the Company collects, uses, stores, shares, and protects personal information in accordance with applicable laws and regulatory guidelines, including those issued by the Reserve Bank of India (RBI).</w:t>
      </w:r>
    </w:p>
    <w:p w14:paraId="15B70B2B" w14:textId="22C5F10C" w:rsidR="003407A7" w:rsidRDefault="003407A7" w:rsidP="00422686">
      <w:pPr>
        <w:jc w:val="both"/>
      </w:pPr>
      <w:r>
        <w:t>This Policy applies to all personal data collected through the Company’s website, digital platforms, applications, physical documents, and other lawful means.</w:t>
      </w:r>
    </w:p>
    <w:p w14:paraId="2E005D41" w14:textId="2C88A891" w:rsidR="003407A7" w:rsidRPr="00422686" w:rsidRDefault="003407A7" w:rsidP="00422686">
      <w:pPr>
        <w:jc w:val="both"/>
        <w:rPr>
          <w:b/>
          <w:bCs/>
          <w:sz w:val="28"/>
          <w:szCs w:val="28"/>
        </w:rPr>
      </w:pPr>
      <w:r w:rsidRPr="00422686">
        <w:rPr>
          <w:b/>
          <w:bCs/>
          <w:sz w:val="28"/>
          <w:szCs w:val="28"/>
        </w:rPr>
        <w:t>2. Definitions</w:t>
      </w:r>
    </w:p>
    <w:p w14:paraId="5F065729" w14:textId="6C3261D1" w:rsidR="003407A7" w:rsidRDefault="003407A7" w:rsidP="00422686">
      <w:pPr>
        <w:jc w:val="both"/>
      </w:pPr>
      <w:r w:rsidRPr="003407A7">
        <w:rPr>
          <w:b/>
          <w:bCs/>
        </w:rPr>
        <w:t>Personal Data:</w:t>
      </w:r>
      <w:r>
        <w:t xml:space="preserve"> Any information that identifies or can reasonably identify an individual, such as name, contact details, identification documents, financial information, or location data.</w:t>
      </w:r>
    </w:p>
    <w:p w14:paraId="114AA3DA" w14:textId="28402D25" w:rsidR="003407A7" w:rsidRDefault="003407A7" w:rsidP="00422686">
      <w:pPr>
        <w:jc w:val="both"/>
      </w:pPr>
      <w:r w:rsidRPr="003407A7">
        <w:rPr>
          <w:b/>
          <w:bCs/>
        </w:rPr>
        <w:t>Sensitive Personal Data:</w:t>
      </w:r>
      <w:r>
        <w:rPr>
          <w:b/>
          <w:bCs/>
        </w:rPr>
        <w:t xml:space="preserve"> </w:t>
      </w:r>
      <w:r>
        <w:t>Information relating to financial details, biometric data, Aadhaar number, PAN, passwords, or authentication credentials.</w:t>
      </w:r>
    </w:p>
    <w:p w14:paraId="777CA182" w14:textId="66DDC003" w:rsidR="003407A7" w:rsidRDefault="003407A7" w:rsidP="00422686">
      <w:pPr>
        <w:jc w:val="both"/>
      </w:pPr>
      <w:r w:rsidRPr="003407A7">
        <w:rPr>
          <w:b/>
          <w:bCs/>
        </w:rPr>
        <w:t>Data Principal:</w:t>
      </w:r>
      <w:r>
        <w:t xml:space="preserve"> The individual whose personal data is collected.</w:t>
      </w:r>
    </w:p>
    <w:p w14:paraId="37EF67A5" w14:textId="0DE3CF77" w:rsidR="003407A7" w:rsidRDefault="003407A7" w:rsidP="00422686">
      <w:pPr>
        <w:jc w:val="both"/>
      </w:pPr>
      <w:r w:rsidRPr="003407A7">
        <w:rPr>
          <w:b/>
          <w:bCs/>
        </w:rPr>
        <w:t>Processing:</w:t>
      </w:r>
      <w:r>
        <w:t xml:space="preserve"> Any operation performed on personal data, including collection, storage, use, disclosure, or deletion.</w:t>
      </w:r>
    </w:p>
    <w:p w14:paraId="1007B76D" w14:textId="3BE81941" w:rsidR="003407A7" w:rsidRPr="00422686" w:rsidRDefault="003407A7" w:rsidP="00422686">
      <w:pPr>
        <w:jc w:val="both"/>
        <w:rPr>
          <w:b/>
          <w:bCs/>
          <w:sz w:val="28"/>
          <w:szCs w:val="28"/>
        </w:rPr>
      </w:pPr>
      <w:r w:rsidRPr="00422686">
        <w:rPr>
          <w:b/>
          <w:bCs/>
          <w:sz w:val="28"/>
          <w:szCs w:val="28"/>
        </w:rPr>
        <w:t xml:space="preserve">3. </w:t>
      </w:r>
      <w:r w:rsidRPr="00422686">
        <w:rPr>
          <w:b/>
          <w:bCs/>
          <w:sz w:val="28"/>
          <w:szCs w:val="28"/>
        </w:rPr>
        <w:t>Information We Collect</w:t>
      </w:r>
    </w:p>
    <w:p w14:paraId="1834FAE2" w14:textId="43BA52C8" w:rsidR="003407A7" w:rsidRDefault="003407A7" w:rsidP="00422686">
      <w:pPr>
        <w:jc w:val="both"/>
      </w:pPr>
      <w:r>
        <w:t>The Company may collect the following categories of information:</w:t>
      </w:r>
    </w:p>
    <w:p w14:paraId="0953FCE2" w14:textId="58B5A818" w:rsidR="003407A7" w:rsidRDefault="003407A7" w:rsidP="00422686">
      <w:pPr>
        <w:pStyle w:val="ListParagraph"/>
        <w:numPr>
          <w:ilvl w:val="0"/>
          <w:numId w:val="1"/>
        </w:numPr>
        <w:jc w:val="both"/>
      </w:pPr>
      <w:r>
        <w:t>Personal identification details (name, address, date of birth, photograph)</w:t>
      </w:r>
    </w:p>
    <w:p w14:paraId="193B437C" w14:textId="1E00D341" w:rsidR="003407A7" w:rsidRDefault="003407A7" w:rsidP="00422686">
      <w:pPr>
        <w:pStyle w:val="ListParagraph"/>
        <w:numPr>
          <w:ilvl w:val="0"/>
          <w:numId w:val="1"/>
        </w:numPr>
        <w:jc w:val="both"/>
      </w:pPr>
      <w:r>
        <w:t xml:space="preserve"> Contact information (mobile number, email address)</w:t>
      </w:r>
    </w:p>
    <w:p w14:paraId="4EA55B6E" w14:textId="5489494C" w:rsidR="003407A7" w:rsidRDefault="003407A7" w:rsidP="00422686">
      <w:pPr>
        <w:pStyle w:val="ListParagraph"/>
        <w:numPr>
          <w:ilvl w:val="0"/>
          <w:numId w:val="1"/>
        </w:numPr>
        <w:jc w:val="both"/>
      </w:pPr>
      <w:r>
        <w:t>KYC documents (PAN, Aadhaar, Voter ID, Passport, Driving Licence, etc.)</w:t>
      </w:r>
    </w:p>
    <w:p w14:paraId="365C5CE7" w14:textId="062CC0A8" w:rsidR="003407A7" w:rsidRDefault="003407A7" w:rsidP="00422686">
      <w:pPr>
        <w:pStyle w:val="ListParagraph"/>
        <w:numPr>
          <w:ilvl w:val="0"/>
          <w:numId w:val="1"/>
        </w:numPr>
        <w:jc w:val="both"/>
      </w:pPr>
      <w:r>
        <w:t>Financial information (bank account details, income details, credit information)</w:t>
      </w:r>
    </w:p>
    <w:p w14:paraId="221DAA3F" w14:textId="77777777" w:rsidR="003407A7" w:rsidRDefault="003407A7" w:rsidP="00422686">
      <w:pPr>
        <w:pStyle w:val="ListParagraph"/>
        <w:numPr>
          <w:ilvl w:val="0"/>
          <w:numId w:val="1"/>
        </w:numPr>
        <w:jc w:val="both"/>
      </w:pPr>
      <w:r>
        <w:t>Loan-related information (application details, repayment history)</w:t>
      </w:r>
    </w:p>
    <w:p w14:paraId="54015F30" w14:textId="10910128" w:rsidR="003407A7" w:rsidRDefault="003407A7" w:rsidP="00422686">
      <w:pPr>
        <w:pStyle w:val="ListParagraph"/>
        <w:numPr>
          <w:ilvl w:val="0"/>
          <w:numId w:val="1"/>
        </w:numPr>
        <w:jc w:val="both"/>
      </w:pPr>
      <w:r>
        <w:t>Device and technical information (IP address, browser type, cookies, log data)</w:t>
      </w:r>
    </w:p>
    <w:p w14:paraId="5BF4AD4A" w14:textId="159F25F0" w:rsidR="003407A7" w:rsidRPr="00E8242B" w:rsidRDefault="003407A7" w:rsidP="00422686">
      <w:pPr>
        <w:pStyle w:val="ListParagraph"/>
        <w:numPr>
          <w:ilvl w:val="0"/>
          <w:numId w:val="1"/>
        </w:numPr>
        <w:jc w:val="both"/>
      </w:pPr>
      <w:r>
        <w:t>Communication records (calls, emails, messages)</w:t>
      </w:r>
    </w:p>
    <w:p w14:paraId="15E1547B" w14:textId="16393EDE" w:rsidR="003407A7" w:rsidRPr="00422686" w:rsidRDefault="003407A7" w:rsidP="00422686">
      <w:pPr>
        <w:jc w:val="both"/>
        <w:rPr>
          <w:b/>
          <w:bCs/>
          <w:sz w:val="28"/>
          <w:szCs w:val="28"/>
        </w:rPr>
      </w:pPr>
      <w:r w:rsidRPr="00422686">
        <w:rPr>
          <w:b/>
          <w:bCs/>
          <w:sz w:val="28"/>
          <w:szCs w:val="28"/>
        </w:rPr>
        <w:t>4. Purpose of Collection and Use</w:t>
      </w:r>
    </w:p>
    <w:p w14:paraId="4826D289" w14:textId="647E36A4" w:rsidR="003407A7" w:rsidRDefault="003407A7" w:rsidP="00422686">
      <w:pPr>
        <w:jc w:val="both"/>
      </w:pPr>
      <w:r>
        <w:t>Personal data is collected and processed for the following purposes:</w:t>
      </w:r>
    </w:p>
    <w:p w14:paraId="14679BE1" w14:textId="2471DBC7" w:rsidR="003407A7" w:rsidRDefault="003407A7" w:rsidP="00422686">
      <w:pPr>
        <w:jc w:val="both"/>
      </w:pPr>
      <w:r>
        <w:t>Customer onboarding and identity verification (KYC/AML compliance)</w:t>
      </w:r>
    </w:p>
    <w:p w14:paraId="2E3E5BC7" w14:textId="28218347" w:rsidR="003407A7" w:rsidRDefault="003407A7" w:rsidP="00422686">
      <w:pPr>
        <w:pStyle w:val="ListParagraph"/>
        <w:numPr>
          <w:ilvl w:val="0"/>
          <w:numId w:val="2"/>
        </w:numPr>
        <w:jc w:val="both"/>
      </w:pPr>
      <w:r>
        <w:lastRenderedPageBreak/>
        <w:t>Processing loan applications and disbursals</w:t>
      </w:r>
    </w:p>
    <w:p w14:paraId="274D0E09" w14:textId="77777777" w:rsidR="003407A7" w:rsidRDefault="003407A7" w:rsidP="00422686">
      <w:pPr>
        <w:pStyle w:val="ListParagraph"/>
        <w:numPr>
          <w:ilvl w:val="0"/>
          <w:numId w:val="2"/>
        </w:numPr>
        <w:jc w:val="both"/>
      </w:pPr>
      <w:r>
        <w:t>Servicing loans and managing repayments</w:t>
      </w:r>
    </w:p>
    <w:p w14:paraId="740B5CB5" w14:textId="77B22687" w:rsidR="003407A7" w:rsidRDefault="003407A7" w:rsidP="00422686">
      <w:pPr>
        <w:pStyle w:val="ListParagraph"/>
        <w:numPr>
          <w:ilvl w:val="0"/>
          <w:numId w:val="2"/>
        </w:numPr>
        <w:jc w:val="both"/>
      </w:pPr>
      <w:r>
        <w:t>Customer communication and support</w:t>
      </w:r>
    </w:p>
    <w:p w14:paraId="563D4443" w14:textId="77777777" w:rsidR="003407A7" w:rsidRDefault="003407A7" w:rsidP="00422686">
      <w:pPr>
        <w:pStyle w:val="ListParagraph"/>
        <w:numPr>
          <w:ilvl w:val="0"/>
          <w:numId w:val="2"/>
        </w:numPr>
        <w:jc w:val="both"/>
      </w:pPr>
      <w:r>
        <w:t>Risk assessment, credit evaluation, and fraud prevention</w:t>
      </w:r>
    </w:p>
    <w:p w14:paraId="01AB4747" w14:textId="390D31E3" w:rsidR="003407A7" w:rsidRDefault="003407A7" w:rsidP="00422686">
      <w:pPr>
        <w:pStyle w:val="ListParagraph"/>
        <w:numPr>
          <w:ilvl w:val="0"/>
          <w:numId w:val="2"/>
        </w:numPr>
        <w:jc w:val="both"/>
      </w:pPr>
      <w:r>
        <w:t xml:space="preserve"> Regulatory reporting and compliance</w:t>
      </w:r>
    </w:p>
    <w:p w14:paraId="5A955A5B" w14:textId="77777777" w:rsidR="003407A7" w:rsidRDefault="003407A7" w:rsidP="00422686">
      <w:pPr>
        <w:pStyle w:val="ListParagraph"/>
        <w:numPr>
          <w:ilvl w:val="0"/>
          <w:numId w:val="2"/>
        </w:numPr>
        <w:jc w:val="both"/>
      </w:pPr>
      <w:r>
        <w:t>Website functionality, analytics, and security</w:t>
      </w:r>
    </w:p>
    <w:p w14:paraId="4AF162FC" w14:textId="53432C01" w:rsidR="003407A7" w:rsidRDefault="003407A7" w:rsidP="00422686">
      <w:pPr>
        <w:pStyle w:val="ListParagraph"/>
        <w:numPr>
          <w:ilvl w:val="0"/>
          <w:numId w:val="2"/>
        </w:numPr>
        <w:jc w:val="both"/>
      </w:pPr>
      <w:r>
        <w:t>Any other purpose permitted by law or with explicit consent of the customer</w:t>
      </w:r>
    </w:p>
    <w:p w14:paraId="51EBF345" w14:textId="6D3CCBE6" w:rsidR="003407A7" w:rsidRPr="00422686" w:rsidRDefault="003407A7" w:rsidP="00422686">
      <w:pPr>
        <w:jc w:val="both"/>
        <w:rPr>
          <w:b/>
          <w:bCs/>
          <w:sz w:val="28"/>
          <w:szCs w:val="28"/>
        </w:rPr>
      </w:pPr>
      <w:r w:rsidRPr="00422686">
        <w:rPr>
          <w:b/>
          <w:bCs/>
          <w:sz w:val="28"/>
          <w:szCs w:val="28"/>
        </w:rPr>
        <w:t xml:space="preserve"> 5. Lawful Basis for Processing</w:t>
      </w:r>
    </w:p>
    <w:p w14:paraId="348A5AC8" w14:textId="06D49E7B" w:rsidR="003407A7" w:rsidRDefault="003407A7" w:rsidP="00422686">
      <w:pPr>
        <w:jc w:val="both"/>
      </w:pPr>
      <w:r>
        <w:t>The Company processes personal data based on one or more of the following lawful grounds:</w:t>
      </w:r>
    </w:p>
    <w:p w14:paraId="3750E286" w14:textId="77777777" w:rsidR="003407A7" w:rsidRDefault="003407A7" w:rsidP="00422686">
      <w:pPr>
        <w:pStyle w:val="ListParagraph"/>
        <w:numPr>
          <w:ilvl w:val="0"/>
          <w:numId w:val="2"/>
        </w:numPr>
        <w:jc w:val="both"/>
      </w:pPr>
      <w:r>
        <w:t>Consent provided by the data principal</w:t>
      </w:r>
    </w:p>
    <w:p w14:paraId="3F228907" w14:textId="48284F95" w:rsidR="003407A7" w:rsidRDefault="003407A7" w:rsidP="00422686">
      <w:pPr>
        <w:pStyle w:val="ListParagraph"/>
        <w:numPr>
          <w:ilvl w:val="0"/>
          <w:numId w:val="2"/>
        </w:numPr>
        <w:jc w:val="both"/>
      </w:pPr>
      <w:r>
        <w:t>Performance of contractual obligations</w:t>
      </w:r>
    </w:p>
    <w:p w14:paraId="213BC614" w14:textId="77777777" w:rsidR="003407A7" w:rsidRDefault="003407A7" w:rsidP="00422686">
      <w:pPr>
        <w:pStyle w:val="ListParagraph"/>
        <w:numPr>
          <w:ilvl w:val="0"/>
          <w:numId w:val="2"/>
        </w:numPr>
        <w:jc w:val="both"/>
      </w:pPr>
      <w:r>
        <w:t>Compliance with legal and regulatory requirements</w:t>
      </w:r>
    </w:p>
    <w:p w14:paraId="6F8A3229" w14:textId="30986F23" w:rsidR="003407A7" w:rsidRDefault="003407A7" w:rsidP="00422686">
      <w:pPr>
        <w:pStyle w:val="ListParagraph"/>
        <w:numPr>
          <w:ilvl w:val="0"/>
          <w:numId w:val="2"/>
        </w:numPr>
        <w:jc w:val="both"/>
      </w:pPr>
      <w:r>
        <w:t xml:space="preserve"> Legitimate business interests, including fraud prevention and risk management</w:t>
      </w:r>
    </w:p>
    <w:p w14:paraId="2F75B4B2" w14:textId="6DDDE36F" w:rsidR="003407A7" w:rsidRPr="00422686" w:rsidRDefault="003407A7" w:rsidP="00422686">
      <w:pPr>
        <w:jc w:val="both"/>
        <w:rPr>
          <w:b/>
          <w:bCs/>
          <w:sz w:val="28"/>
          <w:szCs w:val="28"/>
        </w:rPr>
      </w:pPr>
      <w:r w:rsidRPr="00422686">
        <w:rPr>
          <w:b/>
          <w:bCs/>
          <w:sz w:val="28"/>
          <w:szCs w:val="28"/>
        </w:rPr>
        <w:t>6. Data Sharing and Disclosure</w:t>
      </w:r>
    </w:p>
    <w:p w14:paraId="4C074487" w14:textId="5538F54A" w:rsidR="003407A7" w:rsidRDefault="003407A7" w:rsidP="00422686">
      <w:pPr>
        <w:jc w:val="both"/>
      </w:pPr>
      <w:r>
        <w:t>The Company may share personal data strictly on a need-to-know basis with:</w:t>
      </w:r>
    </w:p>
    <w:p w14:paraId="7CE63E53" w14:textId="207E7F34" w:rsidR="003407A7" w:rsidRDefault="003407A7" w:rsidP="00422686">
      <w:pPr>
        <w:pStyle w:val="ListParagraph"/>
        <w:numPr>
          <w:ilvl w:val="0"/>
          <w:numId w:val="4"/>
        </w:numPr>
        <w:jc w:val="both"/>
      </w:pPr>
      <w:r>
        <w:t>RBI and other statutory or regulatory authorities</w:t>
      </w:r>
    </w:p>
    <w:p w14:paraId="1D12263C" w14:textId="0236B87F" w:rsidR="003407A7" w:rsidRDefault="003407A7" w:rsidP="00422686">
      <w:pPr>
        <w:pStyle w:val="ListParagraph"/>
        <w:numPr>
          <w:ilvl w:val="0"/>
          <w:numId w:val="4"/>
        </w:numPr>
        <w:jc w:val="both"/>
      </w:pPr>
      <w:r>
        <w:t>Credit Information Companies (CICs) such as credit bureaus</w:t>
      </w:r>
    </w:p>
    <w:p w14:paraId="2339307E" w14:textId="1365294E" w:rsidR="003407A7" w:rsidRDefault="003407A7" w:rsidP="00422686">
      <w:pPr>
        <w:pStyle w:val="ListParagraph"/>
        <w:numPr>
          <w:ilvl w:val="0"/>
          <w:numId w:val="4"/>
        </w:numPr>
        <w:jc w:val="both"/>
      </w:pPr>
      <w:r>
        <w:t>Banks, payment gateways, and financial institutions</w:t>
      </w:r>
    </w:p>
    <w:p w14:paraId="68296788" w14:textId="2AB1BC1A" w:rsidR="003407A7" w:rsidRDefault="003407A7" w:rsidP="00422686">
      <w:pPr>
        <w:pStyle w:val="ListParagraph"/>
        <w:numPr>
          <w:ilvl w:val="0"/>
          <w:numId w:val="4"/>
        </w:numPr>
        <w:jc w:val="both"/>
      </w:pPr>
      <w:r>
        <w:t>Service providers, vendors, and outsourced partners (including DSAs and recovery agencies)</w:t>
      </w:r>
    </w:p>
    <w:p w14:paraId="03FC299C" w14:textId="6C611565" w:rsidR="003407A7" w:rsidRDefault="003407A7" w:rsidP="00422686">
      <w:pPr>
        <w:pStyle w:val="ListParagraph"/>
        <w:numPr>
          <w:ilvl w:val="0"/>
          <w:numId w:val="4"/>
        </w:numPr>
        <w:jc w:val="both"/>
      </w:pPr>
      <w:r>
        <w:t>Auditors, legal advisors, and professional consultants</w:t>
      </w:r>
    </w:p>
    <w:p w14:paraId="32533067" w14:textId="47B25A17" w:rsidR="003407A7" w:rsidRDefault="003407A7" w:rsidP="00422686">
      <w:pPr>
        <w:jc w:val="both"/>
      </w:pPr>
      <w:r>
        <w:t>All third parties are required to maintain confidentiality and implement appropriate data protection measures.</w:t>
      </w:r>
    </w:p>
    <w:p w14:paraId="642AB3B3" w14:textId="2B5C0599" w:rsidR="003407A7" w:rsidRPr="00422686" w:rsidRDefault="003407A7" w:rsidP="00422686">
      <w:pPr>
        <w:jc w:val="both"/>
        <w:rPr>
          <w:b/>
          <w:bCs/>
          <w:sz w:val="28"/>
          <w:szCs w:val="28"/>
        </w:rPr>
      </w:pPr>
      <w:r w:rsidRPr="00422686">
        <w:rPr>
          <w:b/>
          <w:bCs/>
          <w:sz w:val="28"/>
          <w:szCs w:val="28"/>
        </w:rPr>
        <w:t>7. Data Storage and Retention</w:t>
      </w:r>
    </w:p>
    <w:p w14:paraId="0CDFBC13" w14:textId="4937905C" w:rsidR="003407A7" w:rsidRDefault="003407A7" w:rsidP="00422686">
      <w:pPr>
        <w:pStyle w:val="ListParagraph"/>
        <w:numPr>
          <w:ilvl w:val="0"/>
          <w:numId w:val="5"/>
        </w:numPr>
        <w:jc w:val="both"/>
      </w:pPr>
      <w:r>
        <w:t>Personal data is stored in secure systems with restricted access.</w:t>
      </w:r>
    </w:p>
    <w:p w14:paraId="441A26E1" w14:textId="2D46FB21" w:rsidR="003407A7" w:rsidRDefault="003407A7" w:rsidP="00422686">
      <w:pPr>
        <w:pStyle w:val="ListParagraph"/>
        <w:numPr>
          <w:ilvl w:val="0"/>
          <w:numId w:val="5"/>
        </w:numPr>
        <w:jc w:val="both"/>
      </w:pPr>
      <w:r>
        <w:t xml:space="preserve">Data is retained only for as long as necessary to fulfil the purpose for which it was collected or as required under applicable laws. </w:t>
      </w:r>
    </w:p>
    <w:p w14:paraId="05A7B1E7" w14:textId="5AC8D608" w:rsidR="00422686" w:rsidRPr="00422686" w:rsidRDefault="003407A7" w:rsidP="00422686">
      <w:pPr>
        <w:pStyle w:val="ListParagraph"/>
        <w:numPr>
          <w:ilvl w:val="0"/>
          <w:numId w:val="5"/>
        </w:numPr>
        <w:jc w:val="both"/>
      </w:pPr>
      <w:r>
        <w:t>Upon expiry of the retention period, data is securely deleted or anonymised.</w:t>
      </w:r>
    </w:p>
    <w:p w14:paraId="01657548" w14:textId="74874D26" w:rsidR="003407A7" w:rsidRPr="00422686" w:rsidRDefault="003407A7" w:rsidP="00422686">
      <w:pPr>
        <w:jc w:val="both"/>
        <w:rPr>
          <w:b/>
          <w:bCs/>
          <w:sz w:val="28"/>
          <w:szCs w:val="28"/>
        </w:rPr>
      </w:pPr>
      <w:r w:rsidRPr="00422686">
        <w:rPr>
          <w:b/>
          <w:bCs/>
          <w:sz w:val="28"/>
          <w:szCs w:val="28"/>
        </w:rPr>
        <w:t>8. Data Security Measures</w:t>
      </w:r>
    </w:p>
    <w:p w14:paraId="3A9E7A84" w14:textId="31DE9829" w:rsidR="003407A7" w:rsidRDefault="003407A7" w:rsidP="00422686">
      <w:pPr>
        <w:jc w:val="both"/>
      </w:pPr>
      <w:r>
        <w:t>The Company implements reasonable security practices and procedures, including:</w:t>
      </w:r>
    </w:p>
    <w:p w14:paraId="1D366355" w14:textId="77777777" w:rsidR="003407A7" w:rsidRDefault="003407A7" w:rsidP="00422686">
      <w:pPr>
        <w:pStyle w:val="ListParagraph"/>
        <w:numPr>
          <w:ilvl w:val="0"/>
          <w:numId w:val="6"/>
        </w:numPr>
        <w:jc w:val="both"/>
      </w:pPr>
      <w:r>
        <w:t>Access controls and role-based permissions</w:t>
      </w:r>
    </w:p>
    <w:p w14:paraId="5AFCA2D3" w14:textId="77777777" w:rsidR="00422686" w:rsidRDefault="003407A7" w:rsidP="00422686">
      <w:pPr>
        <w:pStyle w:val="ListParagraph"/>
        <w:numPr>
          <w:ilvl w:val="0"/>
          <w:numId w:val="6"/>
        </w:numPr>
        <w:jc w:val="both"/>
      </w:pPr>
      <w:r>
        <w:t xml:space="preserve">Encryption of sensitive data where applicable </w:t>
      </w:r>
    </w:p>
    <w:p w14:paraId="20786A31" w14:textId="62B1D31B" w:rsidR="003407A7" w:rsidRDefault="003407A7" w:rsidP="00422686">
      <w:pPr>
        <w:pStyle w:val="ListParagraph"/>
        <w:numPr>
          <w:ilvl w:val="0"/>
          <w:numId w:val="6"/>
        </w:numPr>
        <w:jc w:val="both"/>
      </w:pPr>
      <w:r>
        <w:lastRenderedPageBreak/>
        <w:t>Secure IT infrastructure and firewalls</w:t>
      </w:r>
    </w:p>
    <w:p w14:paraId="487B7926" w14:textId="19B84246" w:rsidR="003407A7" w:rsidRDefault="003407A7" w:rsidP="00422686">
      <w:pPr>
        <w:pStyle w:val="ListParagraph"/>
        <w:numPr>
          <w:ilvl w:val="0"/>
          <w:numId w:val="6"/>
        </w:numPr>
        <w:jc w:val="both"/>
      </w:pPr>
      <w:r>
        <w:t>Regular system monitoring and audits</w:t>
      </w:r>
    </w:p>
    <w:p w14:paraId="41A8522C" w14:textId="42F69F75" w:rsidR="003407A7" w:rsidRDefault="003407A7" w:rsidP="00422686">
      <w:pPr>
        <w:pStyle w:val="ListParagraph"/>
        <w:numPr>
          <w:ilvl w:val="0"/>
          <w:numId w:val="6"/>
        </w:numPr>
        <w:jc w:val="both"/>
      </w:pPr>
      <w:r>
        <w:t>Confidentiality obligations for employees and service providers</w:t>
      </w:r>
    </w:p>
    <w:p w14:paraId="5216F1F2" w14:textId="3BC5222E" w:rsidR="003407A7" w:rsidRPr="00422686" w:rsidRDefault="003407A7" w:rsidP="00422686">
      <w:pPr>
        <w:jc w:val="both"/>
        <w:rPr>
          <w:b/>
          <w:bCs/>
          <w:sz w:val="28"/>
          <w:szCs w:val="28"/>
        </w:rPr>
      </w:pPr>
      <w:r w:rsidRPr="00422686">
        <w:rPr>
          <w:b/>
          <w:bCs/>
          <w:sz w:val="28"/>
          <w:szCs w:val="28"/>
        </w:rPr>
        <w:t>9. Cookies and Website Data</w:t>
      </w:r>
    </w:p>
    <w:p w14:paraId="7BE5E143" w14:textId="20518EC4" w:rsidR="003407A7" w:rsidRDefault="003407A7" w:rsidP="00422686">
      <w:pPr>
        <w:jc w:val="both"/>
      </w:pPr>
      <w:r>
        <w:t>The Company’s website may use cookies and similar technologies to enhance user experience, analyse website traffic, and improve services. Users may manage or disable cookies through their browser settings.</w:t>
      </w:r>
    </w:p>
    <w:p w14:paraId="3980494C" w14:textId="17A5187E" w:rsidR="003407A7" w:rsidRPr="00422686" w:rsidRDefault="003407A7" w:rsidP="00422686">
      <w:pPr>
        <w:jc w:val="both"/>
        <w:rPr>
          <w:b/>
          <w:bCs/>
          <w:sz w:val="28"/>
          <w:szCs w:val="28"/>
        </w:rPr>
      </w:pPr>
      <w:r w:rsidRPr="00422686">
        <w:rPr>
          <w:b/>
          <w:bCs/>
          <w:sz w:val="28"/>
          <w:szCs w:val="28"/>
        </w:rPr>
        <w:t>10. Rights of Data Principals</w:t>
      </w:r>
    </w:p>
    <w:p w14:paraId="5F75DD7D" w14:textId="527CA060" w:rsidR="003407A7" w:rsidRDefault="003407A7" w:rsidP="00422686">
      <w:pPr>
        <w:jc w:val="both"/>
      </w:pPr>
      <w:r>
        <w:t>Subject to applicable law, data principals have the right to:</w:t>
      </w:r>
    </w:p>
    <w:p w14:paraId="3E1B9576" w14:textId="77777777" w:rsidR="003407A7" w:rsidRDefault="003407A7" w:rsidP="00422686">
      <w:pPr>
        <w:pStyle w:val="ListParagraph"/>
        <w:numPr>
          <w:ilvl w:val="0"/>
          <w:numId w:val="7"/>
        </w:numPr>
        <w:jc w:val="both"/>
      </w:pPr>
      <w:r>
        <w:t>Access their personal data</w:t>
      </w:r>
    </w:p>
    <w:p w14:paraId="55D51C99" w14:textId="0918112D" w:rsidR="003407A7" w:rsidRDefault="003407A7" w:rsidP="00422686">
      <w:pPr>
        <w:pStyle w:val="ListParagraph"/>
        <w:numPr>
          <w:ilvl w:val="0"/>
          <w:numId w:val="7"/>
        </w:numPr>
        <w:jc w:val="both"/>
      </w:pPr>
      <w:r>
        <w:t>Request correction or updating of inaccurate data</w:t>
      </w:r>
    </w:p>
    <w:p w14:paraId="63E12838" w14:textId="5BB08551" w:rsidR="003407A7" w:rsidRDefault="003407A7" w:rsidP="00422686">
      <w:pPr>
        <w:pStyle w:val="ListParagraph"/>
        <w:numPr>
          <w:ilvl w:val="0"/>
          <w:numId w:val="7"/>
        </w:numPr>
        <w:jc w:val="both"/>
      </w:pPr>
      <w:r>
        <w:t>Withdraw consent (where processing is based on consent)</w:t>
      </w:r>
    </w:p>
    <w:p w14:paraId="6728415E" w14:textId="5F7E5679" w:rsidR="003407A7" w:rsidRDefault="003407A7" w:rsidP="00422686">
      <w:pPr>
        <w:pStyle w:val="ListParagraph"/>
        <w:numPr>
          <w:ilvl w:val="0"/>
          <w:numId w:val="7"/>
        </w:numPr>
        <w:jc w:val="both"/>
      </w:pPr>
      <w:r>
        <w:t>Request deletion of personal data, subject to legal and regulatory requirements</w:t>
      </w:r>
    </w:p>
    <w:p w14:paraId="2C0A352F" w14:textId="0804DA2E" w:rsidR="003407A7" w:rsidRDefault="003407A7" w:rsidP="00422686">
      <w:pPr>
        <w:jc w:val="both"/>
      </w:pPr>
      <w:r>
        <w:t>Requests may be submitted by contacting the Company using the details provided below.</w:t>
      </w:r>
    </w:p>
    <w:p w14:paraId="0A07FA7B" w14:textId="0C17A787" w:rsidR="003407A7" w:rsidRPr="00422686" w:rsidRDefault="003407A7" w:rsidP="00422686">
      <w:pPr>
        <w:jc w:val="both"/>
        <w:rPr>
          <w:b/>
          <w:bCs/>
          <w:sz w:val="28"/>
          <w:szCs w:val="28"/>
        </w:rPr>
      </w:pPr>
      <w:r w:rsidRPr="00422686">
        <w:rPr>
          <w:b/>
          <w:bCs/>
          <w:sz w:val="28"/>
          <w:szCs w:val="28"/>
        </w:rPr>
        <w:t>11. Data Breach Management</w:t>
      </w:r>
    </w:p>
    <w:p w14:paraId="5F7FCC57" w14:textId="55FE85BA" w:rsidR="003407A7" w:rsidRDefault="003407A7" w:rsidP="00422686">
      <w:pPr>
        <w:jc w:val="both"/>
      </w:pPr>
      <w:r>
        <w:t>In the event of a personal data breach, the Company shall take appropriate remedial measures and comply with applicable legal and regulatory reporting requirements.</w:t>
      </w:r>
    </w:p>
    <w:p w14:paraId="55277EB4" w14:textId="05A89CCE" w:rsidR="003407A7" w:rsidRPr="00422686" w:rsidRDefault="003407A7" w:rsidP="00422686">
      <w:pPr>
        <w:jc w:val="both"/>
        <w:rPr>
          <w:b/>
          <w:bCs/>
          <w:sz w:val="28"/>
          <w:szCs w:val="28"/>
        </w:rPr>
      </w:pPr>
      <w:r w:rsidRPr="00422686">
        <w:rPr>
          <w:b/>
          <w:bCs/>
          <w:sz w:val="28"/>
          <w:szCs w:val="28"/>
        </w:rPr>
        <w:t>12. Cross-Border Data Transfer</w:t>
      </w:r>
    </w:p>
    <w:p w14:paraId="6AFADAAB" w14:textId="0CDAFCD8" w:rsidR="003407A7" w:rsidRDefault="003407A7" w:rsidP="00422686">
      <w:pPr>
        <w:jc w:val="both"/>
      </w:pPr>
      <w:r>
        <w:t>Personal data may be processed or stored on servers located within or outside India, subject to applicable laws and adequate data protection safeguards.</w:t>
      </w:r>
    </w:p>
    <w:p w14:paraId="09392964" w14:textId="0881642F" w:rsidR="003407A7" w:rsidRPr="00422686" w:rsidRDefault="003407A7" w:rsidP="00422686">
      <w:pPr>
        <w:jc w:val="both"/>
        <w:rPr>
          <w:b/>
          <w:bCs/>
          <w:sz w:val="28"/>
          <w:szCs w:val="28"/>
        </w:rPr>
      </w:pPr>
      <w:r w:rsidRPr="00422686">
        <w:rPr>
          <w:b/>
          <w:bCs/>
          <w:sz w:val="28"/>
          <w:szCs w:val="28"/>
        </w:rPr>
        <w:t>13. Policy Review and Updates</w:t>
      </w:r>
    </w:p>
    <w:p w14:paraId="6521BD39" w14:textId="0D60B194" w:rsidR="003407A7" w:rsidRDefault="003407A7" w:rsidP="00422686">
      <w:pPr>
        <w:jc w:val="both"/>
      </w:pPr>
      <w:r>
        <w:t>This Policy shall be reviewed periodically and may be updated to reflect changes in laws, regulations, technology, or business practices. The latest version shall always be available on the Company’s website.</w:t>
      </w:r>
    </w:p>
    <w:p w14:paraId="7A74C06A" w14:textId="6273FD92" w:rsidR="003407A7" w:rsidRPr="00422686" w:rsidRDefault="003407A7" w:rsidP="00422686">
      <w:pPr>
        <w:jc w:val="both"/>
        <w:rPr>
          <w:b/>
          <w:bCs/>
          <w:sz w:val="28"/>
          <w:szCs w:val="28"/>
        </w:rPr>
      </w:pPr>
      <w:r w:rsidRPr="00422686">
        <w:rPr>
          <w:b/>
          <w:bCs/>
          <w:sz w:val="28"/>
          <w:szCs w:val="28"/>
        </w:rPr>
        <w:t>14. Contact Details</w:t>
      </w:r>
    </w:p>
    <w:p w14:paraId="03E7A09F" w14:textId="685027D3" w:rsidR="00422686" w:rsidRDefault="003407A7" w:rsidP="00422686">
      <w:pPr>
        <w:jc w:val="both"/>
      </w:pPr>
      <w:r>
        <w:t>For any queries, concerns, or requests relating to this Policy or personal data, please contact:</w:t>
      </w:r>
      <w:r w:rsidR="00422686">
        <w:t xml:space="preserve"> </w:t>
      </w:r>
    </w:p>
    <w:p w14:paraId="51895934" w14:textId="5F7A3DD4" w:rsidR="00B22883" w:rsidRDefault="00422686" w:rsidP="00422686">
      <w:pPr>
        <w:jc w:val="both"/>
      </w:pPr>
      <w:r>
        <w:rPr>
          <w:noProof/>
        </w:rPr>
        <w:drawing>
          <wp:anchor distT="0" distB="0" distL="114300" distR="114300" simplePos="0" relativeHeight="251659264" behindDoc="1" locked="0" layoutInCell="1" allowOverlap="1" wp14:anchorId="5659DBD3" wp14:editId="2B2306FE">
            <wp:simplePos x="0" y="0"/>
            <wp:positionH relativeFrom="column">
              <wp:posOffset>-15240</wp:posOffset>
            </wp:positionH>
            <wp:positionV relativeFrom="paragraph">
              <wp:posOffset>316864</wp:posOffset>
            </wp:positionV>
            <wp:extent cx="1584960" cy="1310729"/>
            <wp:effectExtent l="0" t="0" r="0" b="3810"/>
            <wp:wrapNone/>
            <wp:docPr id="169888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8452" name="Picture 169888452"/>
                    <pic:cNvPicPr/>
                  </pic:nvPicPr>
                  <pic:blipFill>
                    <a:blip r:embed="rId6">
                      <a:extLst>
                        <a:ext uri="{28A0092B-C50C-407E-A947-70E740481C1C}">
                          <a14:useLocalDpi xmlns:a14="http://schemas.microsoft.com/office/drawing/2010/main" val="0"/>
                        </a:ext>
                      </a:extLst>
                    </a:blip>
                    <a:stretch>
                      <a:fillRect/>
                    </a:stretch>
                  </pic:blipFill>
                  <pic:spPr>
                    <a:xfrm>
                      <a:off x="0" y="0"/>
                      <a:ext cx="1589022" cy="1314088"/>
                    </a:xfrm>
                    <a:prstGeom prst="rect">
                      <a:avLst/>
                    </a:prstGeom>
                  </pic:spPr>
                </pic:pic>
              </a:graphicData>
            </a:graphic>
            <wp14:sizeRelH relativeFrom="margin">
              <wp14:pctWidth>0</wp14:pctWidth>
            </wp14:sizeRelH>
            <wp14:sizeRelV relativeFrom="margin">
              <wp14:pctHeight>0</wp14:pctHeight>
            </wp14:sizeRelV>
          </wp:anchor>
        </w:drawing>
      </w:r>
      <w:r w:rsidR="003407A7" w:rsidRPr="00B22883">
        <w:rPr>
          <w:b/>
          <w:bCs/>
        </w:rPr>
        <w:t>Email:</w:t>
      </w:r>
      <w:r w:rsidR="00B22883">
        <w:rPr>
          <w:b/>
          <w:bCs/>
        </w:rPr>
        <w:t xml:space="preserve"> </w:t>
      </w:r>
      <w:r w:rsidR="003407A7" w:rsidRPr="00410DDF">
        <w:rPr>
          <w:b/>
          <w:bCs/>
          <w:u w:val="single"/>
        </w:rPr>
        <w:t>contact@perpetuitycapital.in</w:t>
      </w:r>
    </w:p>
    <w:p w14:paraId="11AE6F42" w14:textId="14F88C92" w:rsidR="003407A7" w:rsidRDefault="003407A7" w:rsidP="00422686">
      <w:pPr>
        <w:jc w:val="both"/>
      </w:pPr>
    </w:p>
    <w:sectPr w:rsidR="00340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3DA"/>
    <w:multiLevelType w:val="hybridMultilevel"/>
    <w:tmpl w:val="E688B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DB17D9A"/>
    <w:multiLevelType w:val="hybridMultilevel"/>
    <w:tmpl w:val="BEF8C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2A6279"/>
    <w:multiLevelType w:val="hybridMultilevel"/>
    <w:tmpl w:val="113CB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E0F5C64"/>
    <w:multiLevelType w:val="hybridMultilevel"/>
    <w:tmpl w:val="76D09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DDE502F"/>
    <w:multiLevelType w:val="hybridMultilevel"/>
    <w:tmpl w:val="DCB6D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F8D0156"/>
    <w:multiLevelType w:val="hybridMultilevel"/>
    <w:tmpl w:val="D7824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456594"/>
    <w:multiLevelType w:val="hybridMultilevel"/>
    <w:tmpl w:val="55A29FE0"/>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num w:numId="1" w16cid:durableId="1883588458">
    <w:abstractNumId w:val="6"/>
  </w:num>
  <w:num w:numId="2" w16cid:durableId="1014764368">
    <w:abstractNumId w:val="0"/>
  </w:num>
  <w:num w:numId="3" w16cid:durableId="2120223449">
    <w:abstractNumId w:val="3"/>
  </w:num>
  <w:num w:numId="4" w16cid:durableId="2086493728">
    <w:abstractNumId w:val="2"/>
  </w:num>
  <w:num w:numId="5" w16cid:durableId="1729383033">
    <w:abstractNumId w:val="1"/>
  </w:num>
  <w:num w:numId="6" w16cid:durableId="1568416341">
    <w:abstractNumId w:val="4"/>
  </w:num>
  <w:num w:numId="7" w16cid:durableId="98474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A7"/>
    <w:rsid w:val="000D0F90"/>
    <w:rsid w:val="003407A7"/>
    <w:rsid w:val="00410DDF"/>
    <w:rsid w:val="00422686"/>
    <w:rsid w:val="00B22883"/>
    <w:rsid w:val="00E824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0A4"/>
  <w15:chartTrackingRefBased/>
  <w15:docId w15:val="{FC259C36-7E70-4EEB-9035-6BC2170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7A7"/>
    <w:rPr>
      <w:rFonts w:eastAsiaTheme="majorEastAsia" w:cstheme="majorBidi"/>
      <w:color w:val="272727" w:themeColor="text1" w:themeTint="D8"/>
    </w:rPr>
  </w:style>
  <w:style w:type="paragraph" w:styleId="Title">
    <w:name w:val="Title"/>
    <w:basedOn w:val="Normal"/>
    <w:next w:val="Normal"/>
    <w:link w:val="TitleChar"/>
    <w:uiPriority w:val="10"/>
    <w:qFormat/>
    <w:rsid w:val="00340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7A7"/>
    <w:pPr>
      <w:spacing w:before="160"/>
      <w:jc w:val="center"/>
    </w:pPr>
    <w:rPr>
      <w:i/>
      <w:iCs/>
      <w:color w:val="404040" w:themeColor="text1" w:themeTint="BF"/>
    </w:rPr>
  </w:style>
  <w:style w:type="character" w:customStyle="1" w:styleId="QuoteChar">
    <w:name w:val="Quote Char"/>
    <w:basedOn w:val="DefaultParagraphFont"/>
    <w:link w:val="Quote"/>
    <w:uiPriority w:val="29"/>
    <w:rsid w:val="003407A7"/>
    <w:rPr>
      <w:i/>
      <w:iCs/>
      <w:color w:val="404040" w:themeColor="text1" w:themeTint="BF"/>
    </w:rPr>
  </w:style>
  <w:style w:type="paragraph" w:styleId="ListParagraph">
    <w:name w:val="List Paragraph"/>
    <w:basedOn w:val="Normal"/>
    <w:uiPriority w:val="34"/>
    <w:qFormat/>
    <w:rsid w:val="003407A7"/>
    <w:pPr>
      <w:ind w:left="720"/>
      <w:contextualSpacing/>
    </w:pPr>
  </w:style>
  <w:style w:type="character" w:styleId="IntenseEmphasis">
    <w:name w:val="Intense Emphasis"/>
    <w:basedOn w:val="DefaultParagraphFont"/>
    <w:uiPriority w:val="21"/>
    <w:qFormat/>
    <w:rsid w:val="003407A7"/>
    <w:rPr>
      <w:i/>
      <w:iCs/>
      <w:color w:val="0F4761" w:themeColor="accent1" w:themeShade="BF"/>
    </w:rPr>
  </w:style>
  <w:style w:type="paragraph" w:styleId="IntenseQuote">
    <w:name w:val="Intense Quote"/>
    <w:basedOn w:val="Normal"/>
    <w:next w:val="Normal"/>
    <w:link w:val="IntenseQuoteChar"/>
    <w:uiPriority w:val="30"/>
    <w:qFormat/>
    <w:rsid w:val="00340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7A7"/>
    <w:rPr>
      <w:i/>
      <w:iCs/>
      <w:color w:val="0F4761" w:themeColor="accent1" w:themeShade="BF"/>
    </w:rPr>
  </w:style>
  <w:style w:type="character" w:styleId="IntenseReference">
    <w:name w:val="Intense Reference"/>
    <w:basedOn w:val="DefaultParagraphFont"/>
    <w:uiPriority w:val="32"/>
    <w:qFormat/>
    <w:rsid w:val="00340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 Team</dc:creator>
  <cp:keywords/>
  <dc:description/>
  <cp:lastModifiedBy>Teach Team</cp:lastModifiedBy>
  <cp:revision>8</cp:revision>
  <dcterms:created xsi:type="dcterms:W3CDTF">2026-01-16T06:31:00Z</dcterms:created>
  <dcterms:modified xsi:type="dcterms:W3CDTF">2026-01-16T06:55:00Z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983aa60e-5484-4932-a157-5d83006d0437</vt:lpwstr>
  </property>
</Properties>
</file>